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id w:val="-1098557180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71"/>
            <w:gridCol w:w="1976"/>
            <w:gridCol w:w="9781"/>
            <w:gridCol w:w="1920"/>
            <w:gridCol w:w="1140"/>
          </w:tblGrid>
          <w:tr w:rsidR="00225D32" w:rsidRPr="008C4AF7" w:rsidTr="004525DB">
            <w:trPr>
              <w:tblHeader/>
            </w:trPr>
            <w:tc>
              <w:tcPr>
                <w:tcW w:w="571" w:type="dxa"/>
                <w:shd w:val="clear" w:color="auto" w:fill="92D050"/>
                <w:vAlign w:val="center"/>
              </w:tcPr>
              <w:p w:rsidR="00225D32" w:rsidRDefault="00225D32" w:rsidP="00225D32">
                <w:pPr>
                  <w:jc w:val="center"/>
                  <w:rPr>
                    <w:b/>
                  </w:rPr>
                </w:pPr>
                <w:r w:rsidRPr="008C4AF7">
                  <w:rPr>
                    <w:b/>
                  </w:rPr>
                  <w:t>Lp.</w:t>
                </w:r>
              </w:p>
              <w:p w:rsidR="00225D32" w:rsidRPr="00225D32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225D32">
                  <w:rPr>
                    <w:b/>
                    <w:i/>
                    <w:sz w:val="20"/>
                    <w:szCs w:val="20"/>
                  </w:rPr>
                  <w:t>N</w:t>
                </w:r>
                <w:r w:rsidR="00C53E3A">
                  <w:rPr>
                    <w:b/>
                    <w:i/>
                    <w:sz w:val="20"/>
                    <w:szCs w:val="20"/>
                  </w:rPr>
                  <w:t>o</w:t>
                </w:r>
                <w:r w:rsidRPr="00225D32">
                  <w:rPr>
                    <w:b/>
                    <w:i/>
                    <w:sz w:val="20"/>
                    <w:szCs w:val="20"/>
                  </w:rPr>
                  <w:t>.</w:t>
                </w:r>
              </w:p>
            </w:tc>
            <w:tc>
              <w:tcPr>
                <w:tcW w:w="1976" w:type="dxa"/>
                <w:shd w:val="clear" w:color="auto" w:fill="92D050"/>
                <w:vAlign w:val="center"/>
              </w:tcPr>
              <w:p w:rsidR="00225D32" w:rsidRPr="00225D32" w:rsidRDefault="00C77705" w:rsidP="00225D32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Metoda</w:t>
                </w:r>
              </w:p>
              <w:p w:rsidR="00225D32" w:rsidRPr="00225D32" w:rsidRDefault="00C77705" w:rsidP="00225D3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Method</w:t>
                </w:r>
              </w:p>
            </w:tc>
            <w:tc>
              <w:tcPr>
                <w:tcW w:w="9781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:rsidR="00225D32" w:rsidRDefault="00225D32" w:rsidP="00225D32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T</w:t>
                </w:r>
                <w:r w:rsidRPr="008C4AF7">
                  <w:rPr>
                    <w:b/>
                    <w:sz w:val="28"/>
                    <w:szCs w:val="28"/>
                  </w:rPr>
                  <w:t xml:space="preserve">ytuł </w:t>
                </w:r>
                <w:r w:rsidR="0078278C">
                  <w:rPr>
                    <w:b/>
                    <w:sz w:val="28"/>
                    <w:szCs w:val="28"/>
                  </w:rPr>
                  <w:t>metody</w:t>
                </w:r>
              </w:p>
              <w:p w:rsidR="00225D32" w:rsidRPr="00225D32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225D32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T</w:t>
                </w:r>
                <w:r w:rsidR="0078278C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itle of the method</w:t>
                </w:r>
              </w:p>
            </w:tc>
            <w:tc>
              <w:tcPr>
                <w:tcW w:w="3060" w:type="dxa"/>
                <w:gridSpan w:val="2"/>
                <w:shd w:val="clear" w:color="auto" w:fill="92D050"/>
                <w:vAlign w:val="center"/>
              </w:tcPr>
              <w:p w:rsidR="00225D32" w:rsidRPr="008C4AF7" w:rsidRDefault="00225D32" w:rsidP="00225D3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8C4AF7">
                  <w:rPr>
                    <w:b/>
                    <w:sz w:val="28"/>
                    <w:szCs w:val="28"/>
                  </w:rPr>
                  <w:t>Atestacja</w:t>
                </w:r>
              </w:p>
              <w:p w:rsidR="00225D32" w:rsidRPr="00C71D6E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C71D6E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Attestation</w:t>
                </w:r>
              </w:p>
            </w:tc>
          </w:tr>
          <w:tr w:rsidR="00225D32" w:rsidTr="004525DB">
            <w:trPr>
              <w:trHeight w:val="1045"/>
            </w:trPr>
            <w:tc>
              <w:tcPr>
                <w:tcW w:w="571" w:type="dxa"/>
                <w:tcBorders>
                  <w:right w:val="single" w:sz="4" w:space="0" w:color="auto"/>
                </w:tcBorders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tcBorders>
                  <w:right w:val="single" w:sz="4" w:space="0" w:color="auto"/>
                </w:tcBorders>
              </w:tcPr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ZFW/PB-02</w:t>
                </w: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SOP-02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25D32" w:rsidRPr="008C4AF7" w:rsidRDefault="00CE4BC0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6" w:history="1">
                  <w:r w:rsidR="00225D32" w:rsidRPr="008C4AF7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Woda - oznaczanie w skali mikro - w biopreparatach liofilizowanych</w:t>
                  </w:r>
                </w:hyperlink>
                <w:r w:rsidR="00225D32" w:rsidRPr="008C4AF7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8C4AF7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Water - micro determ</w:t>
                </w:r>
                <w:bookmarkStart w:id="0" w:name="_GoBack"/>
                <w:bookmarkEnd w:id="0"/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ination in freeze dried products</w:t>
                </w:r>
              </w:p>
            </w:tc>
            <w:tc>
              <w:tcPr>
                <w:tcW w:w="3060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726C198E" wp14:editId="381D445D">
                      <wp:extent cx="237873" cy="231775"/>
                      <wp:effectExtent l="0" t="0" r="0" b="0"/>
                      <wp:docPr id="59" name="Obraz 5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rPr>
              <w:trHeight w:val="838"/>
            </w:trPr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ZFW/PB-03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SOP-03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</w:tcBorders>
              </w:tcPr>
              <w:p w:rsidR="00225D32" w:rsidRPr="008C4AF7" w:rsidRDefault="00CE4BC0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8" w:history="1">
                  <w:r w:rsidR="00225D32" w:rsidRPr="008C4AF7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Potencjometryczna metoda oznaczania pH w produktach leczniczych</w:t>
                  </w:r>
                </w:hyperlink>
                <w:r w:rsidR="00225D32" w:rsidRPr="008C4AF7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Potentiometric determination of pH in medicinal products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490908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b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55D46D4A" wp14:editId="517190FD">
                      <wp:extent cx="237873" cy="231775"/>
                      <wp:effectExtent l="0" t="0" r="0" b="0"/>
                      <wp:docPr id="105" name="Obraz 105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ZFW/PB-07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SOP-07</w:t>
                </w:r>
              </w:p>
            </w:tc>
            <w:tc>
              <w:tcPr>
                <w:tcW w:w="9781" w:type="dxa"/>
              </w:tcPr>
              <w:p w:rsidR="00225D32" w:rsidRPr="00052A9F" w:rsidRDefault="00CE4BC0" w:rsidP="00ED5B08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9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Oznaczanie lepkości i gęstości produktów leczniczych</w:t>
                  </w:r>
                </w:hyperlink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Determination of the viscosity and density in medicinal products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CD42356" wp14:editId="415C6386">
                      <wp:extent cx="237873" cy="231775"/>
                      <wp:effectExtent l="0" t="0" r="0" b="0"/>
                      <wp:docPr id="106" name="Obraz 106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ZFW/PB-08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SOP-08</w:t>
                </w:r>
              </w:p>
            </w:tc>
            <w:tc>
              <w:tcPr>
                <w:tcW w:w="9781" w:type="dxa"/>
              </w:tcPr>
              <w:p w:rsidR="00225D32" w:rsidRPr="00052A9F" w:rsidRDefault="00CE4BC0" w:rsidP="00ED5B08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0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Metoda oceny objętości produktów leczniczych uzyskiwanej z pojemnika</w:t>
                  </w:r>
                </w:hyperlink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The method of volume assessment in medicinal products obtained from the container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1062D7E3" wp14:editId="3B00C887">
                      <wp:extent cx="237873" cy="231775"/>
                      <wp:effectExtent l="0" t="0" r="0" b="0"/>
                      <wp:docPr id="107" name="Obraz 107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ZFW/PB-09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SOP-09</w:t>
                </w:r>
              </w:p>
            </w:tc>
            <w:tc>
              <w:tcPr>
                <w:tcW w:w="9781" w:type="dxa"/>
              </w:tcPr>
              <w:p w:rsidR="00225D32" w:rsidRPr="00052A9F" w:rsidRDefault="00CE4BC0" w:rsidP="00ED5B08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1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Organoleptyczna metoda oceny wyglądu produktów leczniczych</w:t>
                  </w:r>
                </w:hyperlink>
                <w:r w:rsidR="00225D32" w:rsidRPr="00052A9F">
                  <w:rPr>
                    <w:rFonts w:eastAsia="Times New Roman" w:cs="Times New Roman"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Organoleptic evaluation method of medicinal products appearance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2819AB33" wp14:editId="7BC99A4A">
                      <wp:extent cx="237873" cy="231775"/>
                      <wp:effectExtent l="0" t="0" r="0" b="0"/>
                      <wp:docPr id="108" name="Obraz 108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ZFW/PB-10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SOP-10</w:t>
                </w:r>
              </w:p>
            </w:tc>
            <w:tc>
              <w:tcPr>
                <w:tcW w:w="9781" w:type="dxa"/>
              </w:tcPr>
              <w:p w:rsidR="00225D32" w:rsidRPr="00C71D6E" w:rsidRDefault="00CE4BC0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2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Badanie jałowości immunologicznych weterynaryjnych produktów leczniczych (IWPL)</w:t>
                  </w:r>
                </w:hyperlink>
                <w:r w:rsidR="00225D32" w:rsidRPr="00C71D6E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Sterility tests of immunological veterinary medicinal products (IVMP)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0311620" wp14:editId="762A8C3C">
                      <wp:extent cx="237873" cy="231775"/>
                      <wp:effectExtent l="0" t="0" r="0" b="0"/>
                      <wp:docPr id="109" name="Obraz 10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ZFW/PB-12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SOP-12</w:t>
                </w:r>
              </w:p>
            </w:tc>
            <w:tc>
              <w:tcPr>
                <w:tcW w:w="9781" w:type="dxa"/>
              </w:tcPr>
              <w:p w:rsidR="00225D32" w:rsidRPr="00C71D6E" w:rsidRDefault="00CE4BC0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3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Kontrola seryjna tuberkulin PPD bydlęcej i ptasiej</w:t>
                  </w:r>
                </w:hyperlink>
                <w:r w:rsidR="00225D32" w:rsidRPr="00C71D6E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Batch control of bovine and bird PPD tuberculins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Default="00C53E3A" w:rsidP="00ED5B08">
                <w:pPr>
                  <w:jc w:val="center"/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006E04" wp14:editId="59893358">
                      <wp:extent cx="237873" cy="231775"/>
                      <wp:effectExtent l="0" t="0" r="0" b="0"/>
                      <wp:docPr id="8" name="Obraz 8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D60B61" w:rsidRDefault="00225D32" w:rsidP="00D60B61">
                <w:pPr>
                  <w:spacing w:before="120"/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</w:pPr>
                <w:r w:rsidRPr="00225D32"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>ZFW/PB-13</w:t>
                </w:r>
                <w:r w:rsidR="000B4371"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 xml:space="preserve"> </w:t>
                </w:r>
              </w:p>
              <w:p w:rsidR="00225D32" w:rsidRDefault="00D60B61" w:rsidP="00D60B61">
                <w:pP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</w:pPr>
                <w: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 xml:space="preserve">            </w:t>
                </w:r>
              </w:p>
              <w:p w:rsidR="00225D32" w:rsidRPr="00D60B61" w:rsidRDefault="00225D32" w:rsidP="00D60B61">
                <w:pPr>
                  <w:spacing w:before="120" w:after="120"/>
                  <w:jc w:val="both"/>
                  <w:rPr>
                    <w:rStyle w:val="Hipercze"/>
                    <w:rFonts w:cs="Times New Roman"/>
                    <w:i/>
                    <w:color w:val="auto"/>
                    <w:szCs w:val="24"/>
                    <w:u w:val="none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SOP-13</w:t>
                </w:r>
              </w:p>
            </w:tc>
            <w:tc>
              <w:tcPr>
                <w:tcW w:w="9781" w:type="dxa"/>
              </w:tcPr>
              <w:p w:rsidR="00225D32" w:rsidRDefault="00194D70" w:rsidP="00BF5458">
                <w:pPr>
                  <w:spacing w:before="120"/>
                  <w:jc w:val="both"/>
                  <w:rPr>
                    <w:rStyle w:val="Hipercze"/>
                    <w:rFonts w:cs="Times New Roman"/>
                    <w:b/>
                    <w:color w:val="auto"/>
                    <w:szCs w:val="24"/>
                    <w:u w:val="none"/>
                  </w:rPr>
                </w:pPr>
                <w:r>
                  <w:rPr>
                    <w:rStyle w:val="Hipercze"/>
                    <w:rFonts w:cs="Times New Roman"/>
                    <w:b/>
                    <w:color w:val="auto"/>
                    <w:szCs w:val="24"/>
                    <w:u w:val="none"/>
                  </w:rPr>
                  <w:t>Ocena wyglądu szczepionki i miana wirusa wścieklizny w szczepionkach przeciwko wściekliźnie (żywych, doustnych)</w:t>
                </w:r>
              </w:p>
              <w:p w:rsidR="00225D32" w:rsidRPr="00C71D6E" w:rsidRDefault="00194D70" w:rsidP="00D60B61">
                <w:pPr>
                  <w:spacing w:before="120" w:after="120"/>
                  <w:jc w:val="both"/>
                  <w:rPr>
                    <w:rFonts w:cs="Times New Roman"/>
                    <w:i/>
                    <w:szCs w:val="24"/>
                  </w:rPr>
                </w:pPr>
                <w:r w:rsidRPr="00194D70">
                  <w:rPr>
                    <w:rFonts w:cs="Times New Roman"/>
                    <w:i/>
                    <w:szCs w:val="24"/>
                  </w:rPr>
                  <w:t>Evaluation of vaccine appearance and virus rabies titers in rabies vaccines (live, oral)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478B2D3C" wp14:editId="41534278">
                      <wp:extent cx="237873" cy="231775"/>
                      <wp:effectExtent l="0" t="0" r="0" b="0"/>
                      <wp:docPr id="110" name="Obraz 110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E1479B">
            <w:trPr>
              <w:trHeight w:val="997"/>
            </w:trPr>
            <w:tc>
              <w:tcPr>
                <w:tcW w:w="571" w:type="dxa"/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vAlign w:val="center"/>
              </w:tcPr>
              <w:p w:rsidR="00225D32" w:rsidRDefault="00225D32" w:rsidP="00225D32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ZFW/PB-16</w:t>
                </w:r>
                <w:r w:rsidRPr="00C71D6E">
                  <w:rPr>
                    <w:rFonts w:cs="Times New Roman"/>
                    <w:i/>
                    <w:szCs w:val="24"/>
                  </w:rPr>
                  <w:t xml:space="preserve"> </w:t>
                </w:r>
              </w:p>
              <w:p w:rsidR="00225D32" w:rsidRDefault="00225D32" w:rsidP="00225D32">
                <w:pPr>
                  <w:spacing w:before="120" w:after="120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SOP-16</w:t>
                </w:r>
              </w:p>
            </w:tc>
            <w:tc>
              <w:tcPr>
                <w:tcW w:w="9781" w:type="dxa"/>
                <w:vAlign w:val="center"/>
              </w:tcPr>
              <w:p w:rsidR="00225D32" w:rsidRPr="00052A9F" w:rsidRDefault="00CE4BC0" w:rsidP="0005075F">
                <w:pPr>
                  <w:spacing w:before="120" w:after="120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4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Mianowanie wirusa szczepionkowego na zarodkach kurzych SPF</w:t>
                  </w:r>
                </w:hyperlink>
              </w:p>
              <w:p w:rsidR="00225D32" w:rsidRPr="00C71D6E" w:rsidRDefault="00225D32" w:rsidP="0005075F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Titration of the vaccine virus on SPF chicken embryos</w:t>
                </w:r>
              </w:p>
            </w:tc>
            <w:tc>
              <w:tcPr>
                <w:tcW w:w="192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25D32" w:rsidRDefault="00E1479B" w:rsidP="00E1479B">
                <w:pPr>
                  <w:spacing w:after="120"/>
                  <w:ind w:left="884" w:right="-314"/>
                  <w:jc w:val="center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7B83F912" wp14:editId="10F7105E">
                      <wp:extent cx="237873" cy="231775"/>
                      <wp:effectExtent l="0" t="0" r="0" b="0"/>
                      <wp:docPr id="5" name="Obraz 5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0" w:type="dxa"/>
                <w:tcBorders>
                  <w:left w:val="nil"/>
                </w:tcBorders>
                <w:vAlign w:val="center"/>
              </w:tcPr>
              <w:p w:rsidR="00225D32" w:rsidRPr="00052A9F" w:rsidRDefault="00225D32" w:rsidP="00490908">
                <w:pPr>
                  <w:rPr>
                    <w:rFonts w:eastAsia="Times New Roman" w:cs="Times New Roman"/>
                    <w:szCs w:val="24"/>
                    <w:lang w:eastAsia="pl-PL"/>
                  </w:rPr>
                </w:pP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ZFW/PB-22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SOP-22</w:t>
                </w:r>
              </w:p>
            </w:tc>
            <w:tc>
              <w:tcPr>
                <w:tcW w:w="9781" w:type="dxa"/>
              </w:tcPr>
              <w:p w:rsidR="00225D32" w:rsidRPr="00C71D6E" w:rsidRDefault="00CE4BC0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5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Wykrywanie obecności materiału genetycznego Mycoplasma spp.</w:t>
                  </w:r>
                </w:hyperlink>
                <w:r w:rsidR="00225D32" w:rsidRPr="00C71D6E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Detection of the presence of genetic material of Mycoplasma spp.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C53E3A" w:rsidP="00ED5B08">
                <w:pPr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006E04" wp14:editId="59893358">
                      <wp:extent cx="237873" cy="231775"/>
                      <wp:effectExtent l="0" t="0" r="0" b="0"/>
                      <wp:docPr id="9" name="Obraz 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ZFW/PB-24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SOP-24</w:t>
                </w:r>
              </w:p>
            </w:tc>
            <w:tc>
              <w:tcPr>
                <w:tcW w:w="9781" w:type="dxa"/>
              </w:tcPr>
              <w:p w:rsidR="00225D32" w:rsidRPr="00C71D6E" w:rsidRDefault="00CE4BC0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6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Metoda oceny rozpuszczalności produktów leczniczych weterynaryjnych immunologicznych</w:t>
                  </w:r>
                </w:hyperlink>
              </w:p>
              <w:p w:rsidR="00225D32" w:rsidRPr="00C71D6E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Method for assessing the solubility of veterinary immunological medicinal products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052A9F" w:rsidRDefault="00C53E3A" w:rsidP="00ED5B08">
                <w:pPr>
                  <w:jc w:val="center"/>
                  <w:rPr>
                    <w:rFonts w:eastAsia="Times New Roman" w:cs="Times New Roman"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006E04" wp14:editId="59893358">
                      <wp:extent cx="237873" cy="231775"/>
                      <wp:effectExtent l="0" t="0" r="0" b="0"/>
                      <wp:docPr id="10" name="Obraz 10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ZFW/PB-25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SOP-25</w:t>
                </w:r>
              </w:p>
            </w:tc>
            <w:tc>
              <w:tcPr>
                <w:tcW w:w="9781" w:type="dxa"/>
              </w:tcPr>
              <w:p w:rsidR="00225D32" w:rsidRPr="00052A9F" w:rsidRDefault="00CE4BC0" w:rsidP="008C4AF7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7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Woda-oznaczanie w skali półmikro - w biopreparatach liofilizowanych </w:t>
                  </w:r>
                </w:hyperlink>
              </w:p>
              <w:p w:rsidR="00225D32" w:rsidRPr="00C71D6E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Water - semi-micro determination in freeze dried products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052A9F" w:rsidRDefault="00C53E3A" w:rsidP="00ED5B08">
                <w:pPr>
                  <w:jc w:val="center"/>
                  <w:rPr>
                    <w:rFonts w:eastAsia="Times New Roman" w:cs="Times New Roman"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006E04" wp14:editId="59893358">
                      <wp:extent cx="237873" cy="231775"/>
                      <wp:effectExtent l="0" t="0" r="0" b="0"/>
                      <wp:docPr id="11" name="Obraz 11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94D70" w:rsidTr="004525DB">
            <w:tc>
              <w:tcPr>
                <w:tcW w:w="571" w:type="dxa"/>
                <w:vAlign w:val="center"/>
              </w:tcPr>
              <w:p w:rsidR="00194D70" w:rsidRPr="008C4AF7" w:rsidRDefault="00194D70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194D70" w:rsidRDefault="00194D70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ZFW/PB-26</w:t>
                </w:r>
              </w:p>
              <w:p w:rsidR="00C53E3A" w:rsidRPr="00C53E3A" w:rsidRDefault="00C53E3A" w:rsidP="008C4AF7">
                <w:pPr>
                  <w:spacing w:before="120" w:after="120"/>
                  <w:jc w:val="both"/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</w:pPr>
                <w:r w:rsidRPr="00C53E3A"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  <w:t>SOP-26</w:t>
                </w:r>
              </w:p>
            </w:tc>
            <w:tc>
              <w:tcPr>
                <w:tcW w:w="9781" w:type="dxa"/>
              </w:tcPr>
              <w:p w:rsidR="00194D70" w:rsidRDefault="00194D70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4"/>
                    <w:lang w:eastAsia="pl-PL"/>
                  </w:rPr>
                  <w:t>Tożsamość szczepionkowego wirusa rzekomego pomoru drobiu metodą RT-PCR</w:t>
                </w:r>
              </w:p>
              <w:p w:rsidR="00194D70" w:rsidRDefault="00194D70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194D70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Identity of vaccine Newcastle disease virus by RT-PCR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194D70" w:rsidRDefault="00194D70" w:rsidP="00ED5B08">
                <w:pPr>
                  <w:jc w:val="center"/>
                  <w:rPr>
                    <w:noProof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498A89E3" wp14:editId="62D8B296">
                      <wp:extent cx="226713" cy="247015"/>
                      <wp:effectExtent l="0" t="0" r="1905" b="635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1" t="13014" r="54390" b="78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886" cy="2679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1479B" w:rsidTr="00C53E3A">
            <w:trPr>
              <w:trHeight w:val="848"/>
            </w:trPr>
            <w:tc>
              <w:tcPr>
                <w:tcW w:w="571" w:type="dxa"/>
                <w:vAlign w:val="center"/>
              </w:tcPr>
              <w:p w:rsidR="00E1479B" w:rsidRPr="008C4AF7" w:rsidRDefault="00E1479B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E1479B" w:rsidRDefault="00E1479B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ZFW/PB-27</w:t>
                </w:r>
              </w:p>
              <w:p w:rsidR="00C53E3A" w:rsidRPr="00C53E3A" w:rsidRDefault="00C53E3A" w:rsidP="008C4AF7">
                <w:pPr>
                  <w:spacing w:before="120" w:after="120"/>
                  <w:jc w:val="both"/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</w:pPr>
                <w:r w:rsidRPr="00C53E3A"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  <w:t>SOP-27</w:t>
                </w:r>
              </w:p>
            </w:tc>
            <w:tc>
              <w:tcPr>
                <w:tcW w:w="9781" w:type="dxa"/>
              </w:tcPr>
              <w:p w:rsidR="00E1479B" w:rsidRDefault="00CE4BC0" w:rsidP="008C4AF7">
                <w:pPr>
                  <w:spacing w:before="120" w:after="120"/>
                  <w:jc w:val="both"/>
                  <w:rPr>
                    <w:b/>
                  </w:rPr>
                </w:pPr>
                <w:hyperlink r:id="rId19" w:history="1">
                  <w:r w:rsidR="00E1479B" w:rsidRPr="00E1479B">
                    <w:rPr>
                      <w:rStyle w:val="Hipercze"/>
                      <w:b/>
                      <w:color w:val="auto"/>
                      <w:u w:val="none"/>
                    </w:rPr>
                    <w:t xml:space="preserve">Badanie i ocena termostabilości przynęty szczepionek doustnych przeciwko wściekliźnie </w:t>
                  </w:r>
                </w:hyperlink>
              </w:p>
              <w:p w:rsidR="00C53E3A" w:rsidRPr="00C53E3A" w:rsidRDefault="00C53E3A" w:rsidP="00C53E3A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53E3A">
                  <w:rPr>
                    <w:rFonts w:eastAsia="Times New Roman" w:cs="Times New Roman"/>
                    <w:i/>
                    <w:szCs w:val="24"/>
                    <w:lang w:val="en" w:eastAsia="pl-PL"/>
                  </w:rPr>
                  <w:t>Test and evaluation of the thermostability of ba</w:t>
                </w:r>
                <w:r>
                  <w:rPr>
                    <w:rFonts w:eastAsia="Times New Roman" w:cs="Times New Roman"/>
                    <w:i/>
                    <w:szCs w:val="24"/>
                    <w:lang w:val="en" w:eastAsia="pl-PL"/>
                  </w:rPr>
                  <w:t>it oral vaccines against rabies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E1479B" w:rsidRDefault="00E1479B" w:rsidP="00ED5B08">
                <w:pPr>
                  <w:jc w:val="center"/>
                  <w:rPr>
                    <w:noProof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1467A9BD" wp14:editId="67E7703B">
                      <wp:extent cx="226713" cy="247015"/>
                      <wp:effectExtent l="0" t="0" r="1905" b="635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1" t="13014" r="54390" b="78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886" cy="2679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D1AA5" w:rsidRDefault="003D1AA5">
          <w:r w:rsidRPr="00490908">
            <w:rPr>
              <w:noProof/>
              <w:lang w:eastAsia="pl-PL"/>
            </w:rPr>
            <w:drawing>
              <wp:inline distT="0" distB="0" distL="0" distR="0" wp14:anchorId="712924C6" wp14:editId="5274A48F">
                <wp:extent cx="237873" cy="231775"/>
                <wp:effectExtent l="0" t="0" r="0" b="0"/>
                <wp:docPr id="1" name="Obraz 1" descr="Výhody a nevýhody franchisingu z pohľadu franchisora | Podnikajte.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ýhody a nevýhody franchisingu z pohľadu franchisora | Podnikajte.s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00" t="6523" r="4656" b="10805"/>
                        <a:stretch/>
                      </pic:blipFill>
                      <pic:spPr bwMode="auto">
                        <a:xfrm>
                          <a:off x="0" y="0"/>
                          <a:ext cx="266147" cy="25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metoda atestowana</w:t>
          </w:r>
          <w:r w:rsidR="00E1479B">
            <w:t>/ method attested</w:t>
          </w:r>
          <w:r>
            <w:t xml:space="preserve">         </w:t>
          </w:r>
          <w:r>
            <w:rPr>
              <w:noProof/>
              <w:lang w:eastAsia="pl-PL"/>
            </w:rPr>
            <w:drawing>
              <wp:inline distT="0" distB="0" distL="0" distR="0" wp14:anchorId="4D28AB89" wp14:editId="2C4990DF">
                <wp:extent cx="226713" cy="247015"/>
                <wp:effectExtent l="0" t="0" r="1905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1" t="13014" r="54390" b="7810"/>
                        <a:stretch/>
                      </pic:blipFill>
                      <pic:spPr bwMode="auto">
                        <a:xfrm>
                          <a:off x="0" y="0"/>
                          <a:ext cx="245886" cy="26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>metoda nieatestowana</w:t>
          </w:r>
          <w:r w:rsidR="00E1479B">
            <w:t xml:space="preserve">/ </w:t>
          </w:r>
          <w:r w:rsidR="00C53E3A">
            <w:t>method non</w:t>
          </w:r>
          <w:r w:rsidR="00E1479B">
            <w:t>-at</w:t>
          </w:r>
          <w:r w:rsidR="009959D4">
            <w:t>t</w:t>
          </w:r>
          <w:r w:rsidR="00E1479B">
            <w:t>ested</w:t>
          </w:r>
        </w:p>
      </w:sdtContent>
    </w:sdt>
    <w:sectPr w:rsidR="003D1AA5" w:rsidSect="00225D32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18E1"/>
    <w:multiLevelType w:val="hybridMultilevel"/>
    <w:tmpl w:val="6AD0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F7"/>
    <w:rsid w:val="00020F79"/>
    <w:rsid w:val="00036D93"/>
    <w:rsid w:val="0005075F"/>
    <w:rsid w:val="000B4371"/>
    <w:rsid w:val="00194D70"/>
    <w:rsid w:val="001E54B8"/>
    <w:rsid w:val="001F7D16"/>
    <w:rsid w:val="00225D32"/>
    <w:rsid w:val="003B7125"/>
    <w:rsid w:val="003D1AA5"/>
    <w:rsid w:val="00423070"/>
    <w:rsid w:val="004525DB"/>
    <w:rsid w:val="00483462"/>
    <w:rsid w:val="00490908"/>
    <w:rsid w:val="00490B15"/>
    <w:rsid w:val="005B1FC1"/>
    <w:rsid w:val="00770CF7"/>
    <w:rsid w:val="00777817"/>
    <w:rsid w:val="0078278C"/>
    <w:rsid w:val="008C4AF7"/>
    <w:rsid w:val="008D17A5"/>
    <w:rsid w:val="009705AA"/>
    <w:rsid w:val="009959D4"/>
    <w:rsid w:val="009D7777"/>
    <w:rsid w:val="009F148B"/>
    <w:rsid w:val="00BA0311"/>
    <w:rsid w:val="00BF5458"/>
    <w:rsid w:val="00C53E3A"/>
    <w:rsid w:val="00C71D6E"/>
    <w:rsid w:val="00C77705"/>
    <w:rsid w:val="00CE4BC0"/>
    <w:rsid w:val="00D60B61"/>
    <w:rsid w:val="00DC7B4B"/>
    <w:rsid w:val="00E1479B"/>
    <w:rsid w:val="00ED2340"/>
    <w:rsid w:val="00ED5B08"/>
    <w:rsid w:val="00F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E8B0F-CCB1-49A9-9617-E896DA6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F7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4AF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4AF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C4AF7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4A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8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70CF7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3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3E3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5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intranet/read_dsj.php?id=20715" TargetMode="External"/><Relationship Id="rId13" Type="http://schemas.openxmlformats.org/officeDocument/2006/relationships/hyperlink" Target="http://info.intranet/read_dsj.php?id=2178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hyperlink" Target="http://info.intranet/read_dsj.php?id=21489" TargetMode="External"/><Relationship Id="rId17" Type="http://schemas.openxmlformats.org/officeDocument/2006/relationships/hyperlink" Target="http://info.intranet/read_dsj.php?id=217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.intranet/read_dsj.php?id=207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fo.intranet/read_dsj.php?id=20704" TargetMode="External"/><Relationship Id="rId11" Type="http://schemas.openxmlformats.org/officeDocument/2006/relationships/hyperlink" Target="http://info.intranet/read_dsj.php?id=207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.intranet/read_dsj.php?id=21821" TargetMode="External"/><Relationship Id="rId10" Type="http://schemas.openxmlformats.org/officeDocument/2006/relationships/hyperlink" Target="http://info.intranet/read_dsj.php?id=20708" TargetMode="External"/><Relationship Id="rId19" Type="http://schemas.openxmlformats.org/officeDocument/2006/relationships/hyperlink" Target="https://info.piwet.pulawy.pl/read_dsj.php?id=25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.intranet/read_dsj.php?id=20710" TargetMode="External"/><Relationship Id="rId14" Type="http://schemas.openxmlformats.org/officeDocument/2006/relationships/hyperlink" Target="http://info.intranet/read_dsj.php?id=21728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2D4E-D29C-4037-AC9A-C2A79DFD0E1F}"/>
      </w:docPartPr>
      <w:docPartBody>
        <w:p w:rsidR="00000000" w:rsidRDefault="009A53AC">
          <w:r w:rsidRPr="00BE305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E7"/>
    <w:rsid w:val="009A53AC"/>
    <w:rsid w:val="00D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53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D535-BCD9-4151-8B76-7D6A6D77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Klimowicz</dc:creator>
  <cp:keywords/>
  <dc:description/>
  <cp:lastModifiedBy>A. Nowakowska</cp:lastModifiedBy>
  <cp:revision>2</cp:revision>
  <cp:lastPrinted>2021-01-28T08:17:00Z</cp:lastPrinted>
  <dcterms:created xsi:type="dcterms:W3CDTF">2025-02-18T11:54:00Z</dcterms:created>
  <dcterms:modified xsi:type="dcterms:W3CDTF">2025-02-18T11:54:00Z</dcterms:modified>
</cp:coreProperties>
</file>